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421" w:rsidRPr="00D31BA0" w:rsidRDefault="00DF2421" w:rsidP="00DF2421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Изменения трудового законодательства – 2022, о которых нужно знать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Перенос выходных дней в 2022 году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Все нерабочие праздничные дни обозначены в ст. 112 ТК РФ. Но каждый год правительство устанавливает переносы, чтобы выходные и официальные праздники использовались рационально.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Переносы на 2022 год установлены Постановлением Правительства от 16.09.2021 № 1564. Новогодние каникулы продлятся с 31 декабря 2021 года по 9 января 2022 года.</w:t>
      </w:r>
    </w:p>
    <w:p w:rsidR="00834010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Перенос выходных дней в 2021 году установлен Постановлением Правительства РФ от 10.10.2020 № 1648.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Утверждена доля иностранных работников на 2022 год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Правительства РФ от 07.10.2021 № 1706 установило допустимую долю работников-иностранцев на 2022 год.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 постановлении указаны такие виды деятельности, как выращивание овощей, лесоводство и лесозаготовки, обработка древесины и производство изделий из дерева и пробки, строительство, оптовая торговля пиломатериалами, розничная торговля в нестационарных торговых объектах и на рынках и др.  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устанавливает, что хозяйствующие субъекты должны до 1 января 2022 года привести численность используемых работников-иностранцев в соответствие с постановлением.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Увеличение МРОТ на 6,4 %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Законопроект № 1258300-7 предлагает с 1 января 2022 года установить МРОТ в сумме 13 617 руб. в месяц.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 пояснительной записке к проекту уточняется, что повышение МРОТ по отношению к установленному с 1 января 2021 года (12 792 руб. в месяц) составит 825 руб., что означает рост на 6,4 %. </w:t>
      </w:r>
    </w:p>
    <w:p w:rsidR="00DF2421" w:rsidRPr="00D31BA0" w:rsidRDefault="00DF2421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Внесение поправок, касающихся охраны труда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02.07.2021 № 311-ФЗ вносит изменения в Трудовой кодекс. Они начнут действовать с 1 марта 2022 года.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 будут значительными, они предполагают: </w:t>
      </w:r>
    </w:p>
    <w:p w:rsidR="00813179" w:rsidRPr="00D31BA0" w:rsidRDefault="00813179" w:rsidP="006F418A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установление порядка управления профессиональными рисками на рабочих местах;</w:t>
      </w:r>
    </w:p>
    <w:p w:rsidR="00813179" w:rsidRPr="00D31BA0" w:rsidRDefault="00813179" w:rsidP="006F418A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запрет на работу в опасных условиях труда;</w:t>
      </w:r>
    </w:p>
    <w:p w:rsidR="00813179" w:rsidRPr="00D31BA0" w:rsidRDefault="00813179" w:rsidP="006F418A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разрешение видео-, аудио- или иной фиксацией рабочих процессов; </w:t>
      </w:r>
    </w:p>
    <w:p w:rsidR="00813179" w:rsidRPr="00D31BA0" w:rsidRDefault="00813179" w:rsidP="006F418A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обязательство для работодателей вести учет микротравм;</w:t>
      </w:r>
    </w:p>
    <w:p w:rsidR="00813179" w:rsidRPr="00D31BA0" w:rsidRDefault="00813179" w:rsidP="006F418A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появление отдельных статей о несчастных случаях, микротравмах. </w:t>
      </w:r>
    </w:p>
    <w:p w:rsidR="00813179" w:rsidRPr="00D31BA0" w:rsidRDefault="00813179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Правила исчисления среднего заработка по последнему месту работы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С 25 сентября 2021 года, согласно Постановлению Правительства РФ от 14.09.2021 № 1552, действуют новые правила расчета среднего заработка.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Устанавливается, что средний заработок исчисляется путем деления суммы дохода гражданина, на который были начислены страховые взносы на обязательное пенсионное страхование за расчетный период, на количество месяцев в расчетном периоде.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Виды выплат для расчета среднего заработка:</w:t>
      </w:r>
    </w:p>
    <w:p w:rsidR="005017A7" w:rsidRPr="00D31BA0" w:rsidRDefault="005017A7" w:rsidP="006F418A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зарплата, начисленная по тарифным ставкам, по сдельным расценкам, в процентах от выручки от реализации продукции;</w:t>
      </w:r>
    </w:p>
    <w:p w:rsidR="005017A7" w:rsidRPr="00D31BA0" w:rsidRDefault="005017A7" w:rsidP="006F418A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зарплата в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неденежной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форме;</w:t>
      </w:r>
    </w:p>
    <w:p w:rsidR="005017A7" w:rsidRPr="00D31BA0" w:rsidRDefault="005017A7" w:rsidP="006F418A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разница в должностных окладах работников, перешедших на нижеоплачиваемую работу с сохранением размера должностного оклада по предыдущему месту работы;</w:t>
      </w:r>
    </w:p>
    <w:p w:rsidR="005017A7" w:rsidRPr="00D31BA0" w:rsidRDefault="005017A7" w:rsidP="006F418A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надбавки и доплаты к тарифным ставкам;</w:t>
      </w:r>
    </w:p>
    <w:p w:rsidR="005017A7" w:rsidRPr="00D31BA0" w:rsidRDefault="005017A7" w:rsidP="006F418A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премии и вознаграждения.</w:t>
      </w:r>
    </w:p>
    <w:p w:rsidR="00DF2421" w:rsidRPr="00D31BA0" w:rsidRDefault="00DF2421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передачи сведений в службу занятости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 проекте Постановления Правительства прописывается, в какие сроки работодатели должны представлять сведения и информацию в целях содействия занятости населения.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Уточняется, что данные о вакансиях нужно будет представлять не позже следующего дня после их появления. Передача сведений о банкротстве и о работе по трудоустройству инвалидов должна осуществляться не позднее 10-го рабочего дня в следующем за отчетным месяце</w:t>
      </w:r>
      <w:r w:rsidR="006F418A"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Квота для приема на работу инвалидов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Поправки в Закон РФ от 19.04.91 № 1032-I обязали бизнес фактически трудоустраивать соискателей с инвалидностью с целью выполнения квоты.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Теперь нельзя будет удовлетворить требование по квотам формально, создав рабочие места на бумаге. Правило вступит в силу с 1 марта 2022 года.</w:t>
      </w:r>
    </w:p>
    <w:p w:rsidR="005017A7" w:rsidRPr="00D31BA0" w:rsidRDefault="00DF2421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5017A7"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ребования будут зависеть от численности работников. Если их более 100, то принять на работу инвалидов нужно будет от 2 % до 4 % среднесписочной численности работников.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Если работников от 35 до 100, то таких работников должно быть в пределах 3 % среднесписочной численности.</w:t>
      </w:r>
    </w:p>
    <w:p w:rsidR="00DF2421" w:rsidRPr="00D31BA0" w:rsidRDefault="00DF2421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Корректировка перечня работ, на которых ограничено применение женского труда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Минтруда России от 13.05.2021 № 313н вносит поправки, которые начнут действовать с 1 марта 2022 года по 1 марта 2028 года. В результате перечень профессий для женщин расширится. 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подтверждения безопасных условий труда при проведении большинства работ из списка достаточно будет результатов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спецоценки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госэкспертиза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станет не нужна.</w:t>
      </w:r>
    </w:p>
    <w:p w:rsidR="00DF2421" w:rsidRPr="00D31BA0" w:rsidRDefault="00DF2421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Изменения трудового законодательства – 2021, о которых нужно знать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Продление ограничений из-за COVID-19 до 2022 года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Главного государственного санитарного врача РФ от 13.11.2020 № 35 продлило период действия санитарно-эпидемиологических правил (СП 3.1.3597-20) по профилактике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коронавируса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1 января 2022 года.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значит, что компании и ИП, а также государственные и муниципальные учреждения должны обеспечить организационные, профилактические и санитарно-противоэпидемические мероприятия, чтобы предупредить возникновение и распространение случаев заболевания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коронавирусом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отличаются в зависимости от сферы деятельности, но есть и обязанности, которые распространяются на всех: дезинфекция рабочих помещений, выявление работников и посетителей с признаками инфекционных заболеваний путем измерения температуры тела, обеспечение работников дезинфицирующими средствами и СИЗ и др.</w:t>
      </w:r>
    </w:p>
    <w:p w:rsidR="00DF2421" w:rsidRPr="00D31BA0" w:rsidRDefault="00DF2421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Электронные трудовые для сотрудников, впервые поступающих на работу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На тех сотрудников, которые впервые с 1 января 2021 года будут устраиваться на работу, сведения о трудовой деятельности нужно будет вести только в электронном виде. Бумажная трудовая книжка для них уже не заводится.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Бумажный вариант в 2021 году останется для работающих сотрудников, которые в заявлении о выборе способа ведения трудовой книжки (работодатель должен был получить его до 31 декабря 2020 года), решили оставить бумажный вариант. Для таких сотрудников помимо обычной бумажной трудовой работодателю придется вести еще и электронную трудовую, а именно вносить сведения о трудовой деятельности в систему.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Те, кто в заявлении выразили желание перейти на электронные трудовые, получат бумажную книжку на руки.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С самого начала ПФ РФ отмечал несколько преимуществ от внедрения электронных трудовых:</w:t>
      </w:r>
    </w:p>
    <w:p w:rsidR="005017A7" w:rsidRPr="00D31BA0" w:rsidRDefault="005017A7" w:rsidP="0070573D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невозможность подделки документа;</w:t>
      </w:r>
    </w:p>
    <w:p w:rsidR="005017A7" w:rsidRPr="00D31BA0" w:rsidRDefault="005017A7" w:rsidP="0070573D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минимизация риска утери информации о профессиональной деятельности человека;</w:t>
      </w:r>
    </w:p>
    <w:p w:rsidR="005017A7" w:rsidRPr="00D31BA0" w:rsidRDefault="005017A7" w:rsidP="0070573D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защита сведений от ошибок, которые допускаются при заполнении трудовых вручную;</w:t>
      </w:r>
    </w:p>
    <w:p w:rsidR="005017A7" w:rsidRPr="00D31BA0" w:rsidRDefault="005017A7" w:rsidP="0070573D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упрощение ведения кадрового производства;</w:t>
      </w:r>
    </w:p>
    <w:p w:rsidR="005017A7" w:rsidRPr="00D31BA0" w:rsidRDefault="005017A7" w:rsidP="0070573D">
      <w:pPr>
        <w:numPr>
          <w:ilvl w:val="0"/>
          <w:numId w:val="3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стандартизация, ведение кадровой информации в специализированных базах данных (работники, имея доступ, смогут контролировать в режиме онлайн, какие сведения вносятся в их трудовую книжку).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Расширение формата электронной трудовой книжки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24.02.2021 № 30-ФЗ расширил формат электронной трудовой.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Ранее планировалось, что в электронный аналог трудовой войдет информация о трудовом стаже только начиная с 2020 года. Но позже было решено, что с 2021 года по желанию работника в электронную трудовую можно будет вносить записи о трудовом стаже за все предыдущие периоды. Однако для этого нужно отправить заявление в Пенсионный фонд, и тогда все записи о трудовом стаже будут «оцифрованы».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 электронной трудовой также будет содержаться следующая информация:</w:t>
      </w:r>
    </w:p>
    <w:p w:rsidR="005017A7" w:rsidRPr="00D31BA0" w:rsidRDefault="005017A7" w:rsidP="0070253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о сотруднике;</w:t>
      </w:r>
    </w:p>
    <w:p w:rsidR="005017A7" w:rsidRPr="00D31BA0" w:rsidRDefault="005017A7" w:rsidP="0070253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о месте работы;</w:t>
      </w:r>
    </w:p>
    <w:p w:rsidR="005017A7" w:rsidRPr="00D31BA0" w:rsidRDefault="005017A7" w:rsidP="0070253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о дате приема и увольнения;</w:t>
      </w:r>
    </w:p>
    <w:p w:rsidR="005017A7" w:rsidRPr="00D31BA0" w:rsidRDefault="005017A7" w:rsidP="0070253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о причине прекращения трудового договора.</w:t>
      </w:r>
    </w:p>
    <w:p w:rsidR="0070573D" w:rsidRPr="00D31BA0" w:rsidRDefault="0070573D" w:rsidP="0070253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Продление эксперимента по внедрению кадрового ЭДО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24.03.2021 № 53-ФЗ установил, что эксперимент продлится до 15 ноября 2021 года. Изначально он должен был завершиться к 31 марта. К эксперименту были привлечены работодатели, которые добровольно выразили желание в нем участвовать.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Этот проект поможет определиться, какие документы, связанные с трудовыми отношениями, следует перевести в электронный вид без дублирования на бумажном носителе.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эксперимента будут подготовлены предложения о внесении изменений в трудовое законодательство и станет понятно, каким будет кадровый электронный документооборот.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Обновление формы СТД-ПФР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Приказ Минтруда России от 17.09.2020 № 618н утвердил новую редакцию бланка СТД-ПФР (сведения о трудовой деятельности, предоставляемые из информационных ресурсов ПФ РФ), в которой предусмотрено внесение сведений о трудовой деятельности за периоды до 31 декабря 2019 года. Для этого в бланк добавлена таблица из двух граф: «Работодатель (наименование), регистрационный номер в ПФР» и «Периоды работы».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Обновленная форма применяется с 14 декабря 2020 года.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Изменение порядка расчета среднесписочной численности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Приказ Росстата от 17.11.2020 № 706 внес изменения в правила формирования отчета № П-4 (сведения о численности и заработной плате работников) с 2021 года. 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Так, например, дополнен перечень категорий работников, которые нужно вносить в расчет: целыми единицами теперь учитываются беременные женщины, освобожденные от работы до предоставления другой работы, исключающей воздействие неблагоприятных производственных факторов.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Еще одно новшество касается расчета средней численности работников, оформленных по договорам ГПХ. Приказ Росстата дает уточнения относительно периода действия такого договора в случае, если дата заключения договора, предусматривающего конкретный период выполнения работ или оказания услуг, не совпадает с датой их начала. В таком случае в расчет берется период выполнения задач, являющихся предметом договора.</w:t>
      </w:r>
    </w:p>
    <w:p w:rsidR="0070573D" w:rsidRPr="00D31BA0" w:rsidRDefault="0070573D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Штраф за непредставление или искажение данных в форме СЗВ-ТД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01.04.2020 № 90-ФЗ внес поправки в ст. 15.33.2 КоАП РФ, которые предусматривают административную ответственность за непредставление или представление неполных или недостоверных сведений о трудовой деятельности сотрудника.</w:t>
      </w:r>
    </w:p>
    <w:p w:rsidR="005017A7" w:rsidRPr="00D31BA0" w:rsidRDefault="005017A7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Эти сведения перечислены в п. 2.1 ст. 6 Федерального закона от 01.04.1996 № 27-ФЗ: наименование страхователя, сведения о приеме на работу с указанием (при наличии) структурного подразделения страхователя, в которое принят работник, сведения о переводах на другую постоянную работу, сведения об увольнении, основаниях и о причинах прекращения трудовых отношений и др.</w:t>
      </w: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Санкции в виде предупреждения или штрафа в размере от 300 до 500 руб. грозят за непредставление СЗВ-ТД в срок. Однако ответственность неизбежна только в том случае, если несоответствия обнаружат в ПФР или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Роструде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Если же страхователь сам выявит ошибку и подаст повторный отчет СЗВ-ТД, то он может избежать штрафа.</w:t>
      </w:r>
    </w:p>
    <w:p w:rsidR="0070573D" w:rsidRPr="00D31BA0" w:rsidRDefault="0070573D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Вступление в силу закона об удаленной работе</w:t>
      </w: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08.12.2020 № 407-ФЗ внес изменения в Трудовой кодекс, они проясняют понятие удаленной работы, которая может быть постоянной, временной (на срок не более шести месяцев) или периодической. </w:t>
      </w: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В законе говорится, что возможны варианты с чередованием удаленной работы и работы на стационарном рабочем месте.</w:t>
      </w:r>
    </w:p>
    <w:p w:rsidR="0070253F" w:rsidRPr="00D31BA0" w:rsidRDefault="0070253F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На что важно обратить внимание:</w:t>
      </w:r>
    </w:p>
    <w:p w:rsidR="0070253F" w:rsidRPr="00D31BA0" w:rsidRDefault="0070253F" w:rsidP="0070253F">
      <w:pPr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 закрепляет гарантии по оплате труда дистанционного работника. То есть снизить заплату по причине перевода на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удаленку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нельзя.</w:t>
      </w:r>
    </w:p>
    <w:p w:rsidR="0070253F" w:rsidRPr="00D31BA0" w:rsidRDefault="0070253F" w:rsidP="0070253F">
      <w:pPr>
        <w:numPr>
          <w:ilvl w:val="0"/>
          <w:numId w:val="5"/>
        </w:num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Работодатель обязан обеспечить сотрудника необходимым оборудованием при временном переводе на </w:t>
      </w:r>
      <w:proofErr w:type="spellStart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удаленку</w:t>
      </w:r>
      <w:proofErr w:type="spellEnd"/>
      <w:r w:rsidRPr="00D31BA0">
        <w:rPr>
          <w:rFonts w:ascii="Times New Roman" w:hAnsi="Times New Roman" w:cs="Times New Roman"/>
          <w:color w:val="000000" w:themeColor="text1"/>
          <w:sz w:val="24"/>
          <w:szCs w:val="24"/>
        </w:rPr>
        <w:t>. Либо, если сотрудник использует свою технику, компенсировать ему расходы.</w:t>
      </w:r>
    </w:p>
    <w:p w:rsidR="005017A7" w:rsidRPr="00D31BA0" w:rsidRDefault="00476FEB" w:rsidP="0070253F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31BA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Что изменилось в системах оплаты труда в 2021 году?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Утверждены Рекомендации *(1) по установлению на 2021 год систем оплаты труда работников учреждений. Рассмотрим наиболее существенные изменения.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Без особых изменений остались разделы, описывающие формирование фондов оплаты труда в учреждениях, системы оплаты труда руководителей учреждений, их заместителей и главных бухгалтеров, системы оплаты труда работников учреждений в сфере культуры.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0" w:name="sub_32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Принципы формирования федеральной, региональных и муниципальных систем оплаты труда</w:t>
      </w:r>
    </w:p>
    <w:bookmarkEnd w:id="0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Изменен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"ж" п. 4 Рекомендаций, определяющий один из принципов формирования системы оплаты труда работников учреждений всех уровней.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Оклады (должностные оклады), ставка зарплаты работников учреждений должны устанавливаться с учетом их дифференциации по должностям (профессиям) на основе квалификационных уровней профессиональных квалификационных групп и с учетом минимального размера оплаты труда*(2) в рамках реализации норм федерального закона и правовой позиции КС РФ*(3), а также утвержденных Правительством РФ требований к системам оплаты труда работников государственных и муниципальных учреждений.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По сравнению с прежними Рекомендациями*(4), в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"ж" п. 4, действующий в 2021 году, добавлены дифференциация по должностям (профессиям), МРОТ, а отсылка к перечню поручений Президента РФ по установлению требований к отраслевым системам оплаты труда заменена на требования к системам оплаты труда работников государственных и муниципальных учреждений.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Эти новшества будут отражены и в других разделах Рекомендаций.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К сведению.</w:t>
      </w: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 Федеральный закон от 09.11.2020 N 362-ФЗ внес в ст. 144 ТК РФ поправки, согласно которым Правительство РФ получило право утверждать требования к системам оплаты труда работников государственных и муниципальных учреждений (в том числе требования к окладам и ставкам зарплаты, перечням компенсационных и стимулирующих выплат и условиям их назначения). Требования будут разрабатываться по сферам деятельности учреждений и внедряться в установленные Правительством РФ сроки.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Появился новый принцип формирования системы оплаты труда работников учреждений - обеспечение права каждого работника на своевременную и в полном размере выплату справедливой зарплаты, гарантирующей достойное человека существование для него самого и его семьи, и не ниже МРОТ.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1" w:name="sub_39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Перечень норм и условий оплаты труда, регламентируемых федеральными законами и иными НПА РФ</w:t>
      </w:r>
    </w:p>
    <w:bookmarkEnd w:id="1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Согласно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"б" п. 3 Рекомендаций в трудовом договоре с работником (дополнительном соглашении к трудовому договору) обязательно отражаются: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- условия оплаты труда, установленные работнику в зависимости от сложности выполняемых работ дифференцированно по должностям (профессиям) на основе </w:t>
      </w: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lastRenderedPageBreak/>
        <w:t>квалификационных уровней профессиональных квалификационных групп, с учетом МРОТ в рамках реализации норм федерального закона и правовой позиции КС РФ;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- размеры и условия выплат стимулирующего и компенсационного характера.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2" w:name="sub_33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Системы оплаты труда работников государственных и муниципальных учреждений</w:t>
      </w:r>
    </w:p>
    <w:bookmarkEnd w:id="2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Системы оплаты труда (в том числе тарифные системы оплаты труда) работников учреждений определяются с учетом требований к таким системам, утвержденных Правительством РФ, - добавление об учете требований внесено в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абз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1 п. 6 Рекомендаций.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При установлении и изменении (совершенствовании) систем оплаты труда работников учреждений теперь следует ориентироваться в том числе на цели, определенные Указом Президента РФ от 21.07.2020 N 474 "О национальных целях развития Российской Федерации на период до 2030 года"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"а" п.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Также работодателям нужно позаботиться об обеспечении мер, входящих в систему основных госгарантий по оплате труда, в том числе с учетом МРОТ и требований к системам оплаты труда работников учреждений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"г" п.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Совершенствование структуры заработной платы, в частности соотношения размеров окладов (должностных окладов), ставок заработной платы и выплат компенсационного и стимулирующего характера, должно проходить с учетом задач кадрового обеспечения учреждений и стимулирования работников к повышению результатов труда. Эти задачи определяются федеральными органами исполнительной власти, осуществляющими управление в соответствующих видах деятельности согласно требованиям к отраслевым системам оплаты труда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"д" п.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Системы оплаты труда работников учреждений формируются с учетом установления окладов (должностных окладов), ставок заработной платы работников дифференцированно по должностям (профессиям) на основе квалификационных уровней профессиональных квалификационных групп. При этом также следует ориентироваться на МРОТ и правовую позицию КС РФ, требования к системам оплаты труда работников учреждений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"е" п.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МРОТ, правовую позицию КС РФ, требования к системам оплаты труда работников учреждений надо применять и при формировании фонда оплаты труда на календарный год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"и" п.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В Рекомендации включено положение о том, что если будет приостановлена (ограничена) деятельность отдельных учреждений на основании решения органа власти, за работниками таких учреждений сохраняется заработная плата*(5). А выполнение работником трудовой функции дистанционно не может являться основанием для снижения ему зарплаты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"м" ст. 7).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3" w:name="sub_35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Системы оплаты труда работников госучреждений субъектов РФ и муниципальных учреждений</w:t>
      </w:r>
    </w:p>
    <w:bookmarkEnd w:id="3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Системы оплаты труда работников государственных учреждений субъектов РФ и муниципальных учреждений устанавливаются с учетом общих принципов формирования систем оплаты труда, перечней норм и условий оплаты труда, регламентируемых федеральными законами и иными нормативными правовыми актами РФ, предусмотренных в разд. II-IV Рекомендаций, а также с учетом требований к отраслевым системам оплаты труда, утвержденных Правительством РФ (п. 30).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При разработке нормативных правовых актов по вопросам оплаты труда работников учреждений органам государственной власти субъектов РФ и местного самоуправления также необходимо руководствоваться общими принципами формирования систем оплаты труда, требованиями к отраслевым системам оплаты труда </w:t>
      </w: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lastRenderedPageBreak/>
        <w:t>(п. 32).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В 2021 году при разработке НПА по оплате труда работников учреждений запрещено устанавливать по должностям работников, имеющим один и тот же квалификационный уровень профессиональной квалификационной группы, не только разные размеры повышающих коэффициентов к тарифным ставкам, окладам (должностным окладам), ставкам заработной платы, но и разные размеры самих окладов, ставок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"ж" п. 33).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4" w:name="sub_36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Системы оплаты труда работников сферы образования</w:t>
      </w:r>
    </w:p>
    <w:bookmarkEnd w:id="4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Согласно п. 4.1 разд. IV и п. 5.1 разд. V приложения к Приказу N 536*(7) периоды каникул, а также периоды отмены (приостановки) классных или общешкольных занятий по санитарно-эпидемиологическим, климатическим и другим основаниям, не совпадающие с ежегодными основными, основными удлиненными и ежегодными дополнительными оплачиваемыми отпусками, являются рабочим временем работников образовательных учреждений.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В указанные периоды работники трудятся в порядке и на условиях, предусмотренных разд. IV приложения к Приказу N 536, установленных для режима рабочего времени в каникулярное время. За периоды каникул или отмены (приостановки) занятий за работниками сохраняется зарплата, установленная им до начала указанных периодов (п. 36).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5" w:name="sub_37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t>Системы оплаты труда работников учреждений здравоохранения</w:t>
      </w:r>
    </w:p>
    <w:bookmarkEnd w:id="5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При формировании систем оплаты труда этих работников необходимо учитывать, что порядок установления стимулирующих выплат за услуги, оказанные беременным, молодым матерям и младенцам, предусматривается внутренним положением по оплате труда работников учреждения здравоохранения (п. 37 Рекомендаций). Отметим, что беременным может оказываться не только медицинская, но и правовая, психологическая и медико-социальная помощь. К молодым матерям относятся женщины в период родов и послеродовой период. Услуги, касающиеся младенцев, - это оказание медпомощи новорожденным, проведение профилактических медосмотров ребенка в течение первого года жизни.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Размер стимулирующих выплат по-прежнему рекомендовано устанавливать в зависимости от качества оказанной медпомощи. Но если ранее это качество оценивалось по соответствию утвержденным показателям и критериям, то в 2021 году методика оценки конкретизирована - по соответствию критериям качества медпомощи, предусмотренным приложением 2 к Приказу Минздрава РФ от 02.04.2020 N 266н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"ж" п. 37 Рекомендаций).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Отнесение условий труда к классу (подклассу) условий труда при воздействии биологического фактора (работы с патогенными микроорганизмами) должно осуществляться независимо от концентрации патогенных микроорганизмов и без проведения исследований (испытаний) и измерений в отношении рабочих мест, указанных в п. 29 Методики проведения СОУТ*(8), согласно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"з" п. 37 Рекомендаций.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В пункт 37 Рекомендаций добавлен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. "п", согласно которому необходимо устанавливать стимулирующие выплаты медработникам, выявившим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онкозаболевания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 при проведении диспансеризации и профилактических медосмотров. Данные выплаты устанавливаются на основании Постановления N 1940*(9), Приказа Минздрава РФ от 07.07.2020 N 682н, Письма ФФОМС РФ от 20.08.2020 N 1534/26-4/и.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</w:pPr>
      <w:bookmarkStart w:id="6" w:name="sub_38"/>
      <w:r w:rsidRPr="00D31BA0">
        <w:rPr>
          <w:rFonts w:ascii="Times New Roman CYR" w:eastAsia="Times New Roman" w:hAnsi="Times New Roman CYR" w:cs="Times New Roman CYR"/>
          <w:b/>
          <w:bCs/>
          <w:color w:val="000000" w:themeColor="text1"/>
          <w:sz w:val="24"/>
          <w:szCs w:val="24"/>
          <w:lang w:eastAsia="ru-RU"/>
        </w:rPr>
        <w:lastRenderedPageBreak/>
        <w:t>Системы оплаты труда работников госучреждений ветеринарии</w:t>
      </w:r>
    </w:p>
    <w:bookmarkEnd w:id="6"/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Раздел относительно недавний, он впервые появился в прежних Рекомендациях, поэтому в нем больше всего изменений.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Согласно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"б" п. 40 Рекомендаций при формировании систем оплаты труда руководителям следует обеспечить долю выплат по окладам (должностным окладам) в структуре зарплаты не ниже 60% (без учета компенсационных выплат). Ранее доля была не ниже 70%, однако не было указания о том, что в нее не входят компенсационные выплаты.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При описании возможных стимулирующих выплат сделан акцент на надбавке за качественные показатели эффективности деятельности, премиях по итогам календарного периода, премиях за выполнение важных и особо важных заданий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"в"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Круг претендентов на стимулирующие выплаты расширился. При формировании систем оплаты труда работников можно будет предусматривать указанные выплаты в том числе заведующим ветеринарным участком или пунктом, таким ветеринарным врачам, как микробиологи, вирусологи,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ихтиопатологи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, биохимики, патологоанатомы, и иным работникам (рабочим), непосредственно участвующим в оказании помощи при ликвидации очагов особо опасных болезней животных, в том числе общих для человека и животных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"г"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Увеличение фондов оплаты труда работников, в том числе при проведении индексации заработной платы, руководители должны направлять преимущественно на увеличение размеров окладов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"д" п. 40). Ранее данное требование было рекомендацией.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Штатные расписания госучреждений ветеринарии будут формироваться в 2021 году с учетом наименований профессий, должностей, которые предусмотрены профессиональными квалификационными группами должностей работников сельского хозяйства*(10)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"ж"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Указано устанавливать работникам, трудящимся вне стационарных пунктов, а именно проводящим противоэпизоотические мероприятия, лечащим животных у хозяйствующего субъекта, в приютах и (или) использующим высокотехнологическое лабораторное или ветеринарное оборудование, повышенную оплату труда. Размер этой платы определяется коллективным договором и (или) ЛНА учреждения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"з"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При установлении системы оплаты труда следует учитывать мнение выборного профсоюзного или иного представительного органа работников учреждения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"и"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Размеры компенсационных выплат не должны быть ниже размеров, установленных трудовым законодательством и иными федеральными актами, содержащими нормы трудового права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"к"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Предписано установить стимулирующую надбавку за стаж непрерывной работы (выслугу лет) в процентах к должностному окладу: 10% - при выслуге от 3 до 5 лет; 15% - от 5 до 10 лет; 20% - от 10 до 15 лет; 25% - от 15 лет и более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"л"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Для выпускников, трудоустроившихся в госучреждения ветеринарии Дальневосточного федерального округа, можно предусмотреть единовременную выплату при формировании системы оплаты труда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"м" п. 40).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Если работники в возрасте до 30 лет прожили в районах Крайнего Севера и приравненных к ним местностях не менее 5 лет, рекомендовано производить им выплату процентной надбавки к заработной плате в полном размере с первого дня работы в этих местностях (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пп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. "н" п. 40).</w:t>
      </w:r>
    </w:p>
    <w:p w:rsidR="001B0FF6" w:rsidRPr="00D31BA0" w:rsidRDefault="001B0FF6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Подытожим. К обязательным нормам и условиям оплаты труда относится МРОТ. При формировании систем оплаты труда также следует учитывать правовую позицию КС РФ и требования к системам оплаты труда работников государственных и муниципальных </w:t>
      </w: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lastRenderedPageBreak/>
        <w:t>учреждений.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Рекомендации учитываются Правительством РФ, органами государственной власти субъектов РФ и местного самоуправления при определении объемов финансового обеспечения деятельности государственных и муниципальных учреждений и разработке законов и иных нормативных правовых актов по оплате труда работников данных учреждений.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color w:val="000000" w:themeColor="text1"/>
          <w:lang w:eastAsia="ru-RU"/>
        </w:rPr>
      </w:pPr>
      <w:r w:rsidRPr="00D31BA0">
        <w:rPr>
          <w:rFonts w:ascii="Courier New" w:eastAsia="Times New Roman" w:hAnsi="Courier New" w:cs="Courier New"/>
          <w:color w:val="000000" w:themeColor="text1"/>
          <w:lang w:eastAsia="ru-RU"/>
        </w:rPr>
        <w:t>─────────────────────────────────────────</w:t>
      </w:r>
      <w:r w:rsidR="008E6006" w:rsidRPr="00D31BA0">
        <w:rPr>
          <w:rFonts w:ascii="Courier New" w:eastAsia="Times New Roman" w:hAnsi="Courier New" w:cs="Courier New"/>
          <w:color w:val="000000" w:themeColor="text1"/>
          <w:lang w:eastAsia="ru-RU"/>
        </w:rPr>
        <w:t>────────────────────────────_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7" w:name="sub_1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*(1) 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2021 год", утв. Решением Российской трехсторонней комиссии по регулированию социально-трудовых отношений от 22.12.2020, протокол N 13.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8" w:name="sub_2"/>
      <w:bookmarkEnd w:id="7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*(2) Согласно ст. 1 Федерального закона от 19.06.2000 N 82-ФЗ "О минимальном размере оплаты труда" с 01.01.2921 МРОТ составляет 12 792 руб. в месяц.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9" w:name="sub_3"/>
      <w:bookmarkEnd w:id="8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*(3) Здесь и далее под нею будут иметься в виду тезисы, изложенные в постановлениях от 07.12.2017 N 38-П, от 28.06.2018 N 26-П, от 11.04.2019 N 17-П и от 16.12.2019 N 40-П.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0" w:name="sub_4"/>
      <w:bookmarkEnd w:id="9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*(4) "Единые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2020 год", утв. Решением Российской трехсторонней комиссии по регулированию социально-трудовых отношений от 24.12.2019, протокол N 11.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1" w:name="sub_24"/>
      <w:bookmarkEnd w:id="10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*(5) В соответствии с Указом Президента РФ от 11.05.2020 N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коронавирусной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 инфекции (COVID-19)".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2" w:name="sub_25"/>
      <w:bookmarkEnd w:id="11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*(6) Изложены в разд. II-IV Рекомендаций.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3" w:name="sub_7"/>
      <w:bookmarkEnd w:id="12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*(7) Приказ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 РФ от 11.05.2016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4" w:name="sub_26"/>
      <w:bookmarkEnd w:id="13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*(8) Утверждена Приказом Минтруда РФ от 24.01.2014 N 33н.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5" w:name="sub_27"/>
      <w:bookmarkEnd w:id="14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*(9) Постановление Правительства РФ от 30.12.2019 N 1940 "Об утверждении Правил определения порядка и условий предоставления межбюджетных трансфертов из бюджета ФФОМС бюджетам территориальных фондов ОМС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населения".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6" w:name="sub_10"/>
      <w:bookmarkEnd w:id="15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*(10) Утверждены приказами </w:t>
      </w:r>
      <w:proofErr w:type="spellStart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Минздравсоцразвития</w:t>
      </w:r>
      <w:proofErr w:type="spellEnd"/>
      <w:r w:rsidRPr="00D31BA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 xml:space="preserve"> РФ от 17.07.2008 N 339н, от 29.05.2008 N 247н "Об утверждении профессиональных квалификационных групп общеотраслевых должностей руководителей, специалистов и служащих", от 29.05.2008 N 248н "Об утверждении профессиональных квалификационных групп общеотраслевых профессий рабочих".</w:t>
      </w:r>
    </w:p>
    <w:p w:rsidR="00476FEB" w:rsidRPr="00D31BA0" w:rsidRDefault="00476FEB" w:rsidP="00476F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bookmarkStart w:id="17" w:name="_GoBack"/>
      <w:bookmarkEnd w:id="16"/>
      <w:bookmarkEnd w:id="17"/>
    </w:p>
    <w:p w:rsidR="00476FEB" w:rsidRPr="00D31BA0" w:rsidRDefault="00476FEB" w:rsidP="0070253F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76FEB" w:rsidRPr="00D31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554"/>
    <w:multiLevelType w:val="multilevel"/>
    <w:tmpl w:val="6CFA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54D29"/>
    <w:multiLevelType w:val="multilevel"/>
    <w:tmpl w:val="D65C3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B36C5"/>
    <w:multiLevelType w:val="multilevel"/>
    <w:tmpl w:val="BD4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A26299"/>
    <w:multiLevelType w:val="multilevel"/>
    <w:tmpl w:val="89CC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8916DF"/>
    <w:multiLevelType w:val="multilevel"/>
    <w:tmpl w:val="30DA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DDF"/>
    <w:rsid w:val="001B0FF6"/>
    <w:rsid w:val="001D0DDF"/>
    <w:rsid w:val="00476FEB"/>
    <w:rsid w:val="005017A7"/>
    <w:rsid w:val="006F418A"/>
    <w:rsid w:val="0070253F"/>
    <w:rsid w:val="0070573D"/>
    <w:rsid w:val="00813179"/>
    <w:rsid w:val="00834010"/>
    <w:rsid w:val="008E6006"/>
    <w:rsid w:val="00B76416"/>
    <w:rsid w:val="00D31BA0"/>
    <w:rsid w:val="00DF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1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1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3889</Words>
  <Characters>22168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Виктория Параскевич</cp:lastModifiedBy>
  <cp:revision>4</cp:revision>
  <dcterms:created xsi:type="dcterms:W3CDTF">2021-12-10T19:29:00Z</dcterms:created>
  <dcterms:modified xsi:type="dcterms:W3CDTF">2021-12-12T19:18:00Z</dcterms:modified>
</cp:coreProperties>
</file>